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9C7B4F"/>
          <w:spacing w:val="120"/>
          <w:sz w:val="20"/>
          <w:szCs w:val="20"/>
        </w:rPr>
        <w:t xml:space="preserve">Г А Й Д</w:t>
      </w:r>
    </w:p>
    <w:p>
      <w:pPr>
        <w:spacing w:after="120"/>
        <w:jc w:val="center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96"/>
          <w:szCs w:val="96"/>
        </w:rPr>
        <w:t xml:space="preserve">Витамин В3</w:t>
      </w:r>
    </w:p>
    <w:p>
      <w:pPr>
        <w:spacing w:after="200"/>
        <w:jc w:val="center"/>
      </w:pPr>
      <w:r>
        <w:rPr>
          <w:rFonts w:ascii="Cormorant Garamond" w:cs="Cormorant Garamond" w:eastAsia="Cormorant Garamond" w:hAnsi="Cormorant Garamond"/>
          <w:i/>
          <w:iCs/>
          <w:color w:val="9C7B4F"/>
          <w:sz w:val="34"/>
          <w:szCs w:val="34"/>
        </w:rPr>
        <w:t xml:space="preserve">Формы, функции и практическое применение</w:t>
      </w:r>
    </w:p>
    <w:p>
      <w:pPr>
        <w:spacing w:before="160"/>
        <w:jc w:val="center"/>
      </w:pPr>
      <w:r>
        <w:rPr>
          <w:rFonts w:ascii="Calibri" w:cs="Calibri" w:eastAsia="Calibri" w:hAnsi="Calibri"/>
          <w:color w:val="C4A06E"/>
          <w:sz w:val="20"/>
          <w:szCs w:val="20"/>
        </w:rPr>
        <w:t xml:space="preserve">✦ ✦ ✦</w:t>
      </w:r>
    </w:p>
    <w:p>
      <w:pPr>
        <w:spacing w:before="1600"/>
        <w:jc w:val="center"/>
      </w:pPr>
      <w:r>
        <w:rPr>
          <w:rFonts w:ascii="Cormorant Garamond" w:cs="Cormorant Garamond" w:eastAsia="Cormorant Garamond" w:hAnsi="Cormorant Garamond"/>
          <w:color w:val="3F2A1E"/>
          <w:sz w:val="36"/>
          <w:szCs w:val="36"/>
        </w:rPr>
        <w:t xml:space="preserve">Лилия Колева</w:t>
      </w:r>
    </w:p>
    <w:p>
      <w:pPr>
        <w:jc w:val="center"/>
      </w:pPr>
      <w:r>
        <w:rPr>
          <w:rFonts w:ascii="Calibri" w:cs="Calibri" w:eastAsia="Calibri" w:hAnsi="Calibri"/>
          <w:color w:val="A08878"/>
          <w:sz w:val="18"/>
          <w:szCs w:val="18"/>
        </w:rPr>
        <w:t xml:space="preserve">Интегративный нутрициолог · специалист Аюрведы</w:t>
      </w:r>
    </w:p>
    <w:p>
      <w:pPr>
        <w:spacing w:before="40"/>
        <w:jc w:val="center"/>
      </w:pPr>
      <w:r>
        <w:rPr>
          <w:rFonts w:ascii="Calibri" w:cs="Calibri" w:eastAsia="Calibri" w:hAnsi="Calibri"/>
          <w:color w:val="9C7B4F"/>
          <w:sz w:val="18"/>
          <w:szCs w:val="18"/>
        </w:rPr>
        <w:t xml:space="preserve">@lilia_koleva</w:t>
      </w:r>
    </w:p>
    <w:p>
      <w:pPr>
        <w:pageBreakBefore/>
      </w:pPr>
    </w:p>
    <w:p>
      <w:pPr>
        <w:spacing w:after="120" w:before="8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56"/>
          <w:szCs w:val="56"/>
        </w:rPr>
        <w:t xml:space="preserve">Витамин В3. Формы, функции и практическое применение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Витамин В3 относится к числу ключевых кофакторов, участвующих в поддержании клеточного метаболизма и энергетического обмена.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Производные витамина В3 участвуют в процессах образования клеточной энергии, поэтому их значение выходит далеко за пределы какой-либо одной системы организма.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От обеспеченности организма витамином В3 во многом зависят: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работа нервной системы;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углеводный обмен;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гормональная регуляция;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работа печени;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адаптационные возможности организма;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процессы восстановления;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работа иммунной системы.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Все эти процессы требуют значительных энергетических затрат. Именно поэтому состояние энергетического обмена напрямую влияет на способность организма поддерживать свои функции, адаптироваться к нагрузкам и сохранять ресурс для восстановления.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На практике я часто вижу ситуацию, когда человек жалуется на постоянную усталость, снижение работоспособности, сложности с концентрацией внимания, туман в голове, ухудшение переносимости физических нагрузок или снижение устойчивости к стрессу.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 таких ситуациях мы закономерно обращаем внимание на уровень железа, белковый обмен, функцию щитовидной железы, витамин Д, магний, состояние пищеварительной системы.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 это абсолютно правильно.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Но одновременно важно понимать, что за многими подобными жалобами часто стоит снижение эффективности клеточного метаболизма.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Организм может получать питательные вещества с пищей.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Но дальше эти вещества необходимо превратить в энергию.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 именно здесь витамин В3 становится одним из ключевых участников метаболических процессов.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Коферменты NAD и NADP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Главная роль витамина В3 связана с образованием коферментов NAD и NADP.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они участвуют в огромном количестве биохимических реакций и обеспечивают нормальное течение энергетического обмена.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Если говорить простым языком, витамин В3 помогает клетке получать энергию из белков, жиров и углеводов.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NAD в большей степени связан с процессами получения энергии.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Он участвует в реакциях, благодаря которым клетка использует глюкозу, жирные кислоты и аминокислоты для образования АТФ.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NAD тесно связан с работой митохондрий, физической выносливостью, концентрацией внимания и общим ресурсом организма.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NADP участвует преимущественно в восстановительных процессах. Он необходим для: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антиоксидантной защиты;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поддержания глутатионовой системы;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работы печени;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синтеза жирных кислот;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регуляции воспалительного процесса;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детоксикационных механизмов.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разговор о витамине В3 всегда выходит далеко за рамки одной функции или одного симптома.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Фактически мы говорим о клеточном метаболизме в целом.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поэтому разные формы витамина В3 могут использоваться для разных задач.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Основные формы витамина В3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 данном гайде мы подробно рассмотрим основные формы витамина В3, их функции, особенности применения: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Никотиновая кислота (Niacin);</w:t>
      </w:r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p5fkqh3ptik4crztxctkz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Swanson · Niacin 100 mg, 250 tablets</w:t>
        </w:r>
      </w:hyperlink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Ниацинамид или никотинамид (Niacinamide, Nicotinamide);</w:t>
      </w:r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416i21bjm06wiwcq-z_-i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Nutricost · Niacinamide 500 mg, 240 capsules</w:t>
        </w:r>
      </w:hyperlink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Инозитол гексаникотинат (Inositol Hexanicotinate, Flush-Free Niacin);</w:t>
      </w:r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ypd3bng9xkhkgmd1ugfq6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Swanson · Flush-Free Niacin 500 mg, 120 capsules</w:t>
        </w:r>
      </w:hyperlink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Никотинамид рибозид (NR, Nicotinamide Riboside);</w:t>
      </w:r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pfholjmjsiowqxdhnk221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Thorne · NiaCel 400 Nicotinamide Riboside, 60 capsules</w:t>
        </w:r>
      </w:hyperlink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Никотинамид мононуклеотид (NMN, Nicotinamide Mononucleotide);</w:t>
      </w:r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9av_0ewugb7yqaafmaglv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California Gold Nutrition · NMN 175 mg, 180 veggie capsules</w:t>
        </w:r>
      </w:hyperlink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r-w9ywesncotvccdrfdny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Codeage · Liposomal NMN, 30 vegetable capsules</w:t>
        </w:r>
      </w:hyperlink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NADH (восстановленная форма NAD).</w:t>
      </w:r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4nmdtdyjznm0j3hkzbehj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ENADA · 20X 20 mg, 30 lozenges</w:t>
        </w:r>
      </w:hyperlink>
    </w:p>
    <w:p>
      <w:pPr>
        <w:spacing w:after="200"/>
        <w:ind w:left="360"/>
      </w:pPr>
      <w:r>
        <w:rPr>
          <w:rFonts w:ascii="Calibri" w:cs="Calibri" w:eastAsia="Calibri" w:hAnsi="Calibri"/>
          <w:color w:val="9C7B4F"/>
          <w:sz w:val="20"/>
          <w:szCs w:val="20"/>
        </w:rPr>
        <w:t xml:space="preserve">↗  </w:t>
      </w:r>
      <w:hyperlink w:history="1" r:id="rIddapc5oqzfl2s4odi6lpmw">
        <w:r>
          <w:rPr>
            <w:rFonts w:ascii="Calibri" w:cs="Calibri" w:eastAsia="Calibri" w:hAnsi="Calibri"/>
            <w:color w:val="9C7B4F"/>
            <w:sz w:val="20"/>
            <w:szCs w:val="20"/>
            <w:u w:val="single"/>
          </w:rPr>
          <w:t xml:space="preserve">Swanson · NADH Peppermint 20 mg, 30 lozenges</w:t>
        </w:r>
      </w:hyperlink>
    </w:p>
    <w:p>
      <w:pPr>
        <w:spacing w:after="200" w:before="200"/>
        <w:jc w:val="center"/>
      </w:pPr>
      <w:r>
        <w:rPr>
          <w:rFonts w:ascii="Calibri" w:cs="Calibri" w:eastAsia="Calibri" w:hAnsi="Calibri"/>
          <w:color w:val="C4A06E"/>
          <w:sz w:val="18"/>
          <w:szCs w:val="18"/>
        </w:rPr>
        <w:t xml:space="preserve">✦ ✦ ✦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Никотиновая кислота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Начнем с никотиновой кислоты.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Это классическая форма витамина В3.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она обладает наиболее выраженным влиянием на сосудистую систему и микроциркуляцию.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Многие знакомы с так называемым ниациновым приливом.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Он может проявляться как: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покраснение кожи;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ощущение жара;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покалывание;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усиление кровотока;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ощущение тепла или жара.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Такая реакция связана с расширением сосудов и является физиологическим эффектом никотиновой кислоты.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 определенных ситуациях это свойство может использоваться для поддержки микроциркуляции и липидного обмена.</w:t>
      </w:r>
    </w:p>
    <w:p>
      <w:pPr>
        <w:pBdr>
          <w:left w:val="single" w:color="C4A06E" w:sz="24" w:space="12"/>
        </w:pBdr>
        <w:shd w:fill="FAF6F0" w:val="clear"/>
        <w:spacing w:after="160" w:before="120" w:line="300"/>
        <w:ind w:left="360"/>
      </w:pPr>
      <w:r>
        <w:rPr>
          <w:rFonts w:ascii="Cormorant Garamond" w:cs="Cormorant Garamond" w:eastAsia="Cormorant Garamond" w:hAnsi="Cormorant Garamond"/>
          <w:i/>
          <w:iCs/>
          <w:color w:val="5C4035"/>
          <w:sz w:val="26"/>
          <w:szCs w:val="26"/>
        </w:rPr>
        <w:t xml:space="preserve">Но здесь важно учитывать индивидуальные особенности организма.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Особенно при наличии нарушений метилирования и дефицита метильных групп.</w:t>
      </w:r>
    </w:p>
    <w:p>
      <w:pPr>
        <w:spacing w:after="160" w:line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 таких ситуациях высокие дозировки никотиновой кислоты могут дополнительно увеличивать потребность организма </w:t>
      </w:r>
      <w:r>
        <w:rPr>
          <w:rFonts w:ascii="Calibri" w:cs="Calibri" w:eastAsia="Calibri" w:hAnsi="Calibri"/>
          <w:b w:val="false"/>
          <w:bCs w:val="false"/>
          <w:i/>
          <w:iCs/>
          <w:color w:val="5C4035"/>
          <w:sz w:val="22"/>
          <w:szCs w:val="22"/>
        </w:rPr>
        <w:t xml:space="preserve">в метильных донорах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, поэтому при выборе формы витамина В3 важно оценивать состояние метаболических процессов в целом.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данная форма требует понимания задач и оценки общего метаболического состояния человека.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Ниацинамид (никотинамид)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Следующая форма - ниацинамид или никотинамид.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Это амидная форма витамина В3.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Основная задача ниацинамида связана с образованием NAD и NADP и поддержкой энергетического обмена.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он чаще рассматривается как форма для: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поддержки нервной системы;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работы митохондрий;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восстановления после стресса;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поддержки слизистых и кожи;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участия в процессах репарации тканей;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поддержки клеточного метаболизма.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Ниацинамид практически не влияет на сосуды и микроциркуляцию.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Он не вызывает приливов и покраснения кожи.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если основная задача связана с энергетическим обменом, нервной системой, ресурсом организма, хронической усталостью, чаще выбор падает именно на него.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Инозитол гексаникотинат (Flush-Free Niacin)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Следующая форма - инозитол гексаникотинат.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Многие знают её как flush-free niacin.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Это соединение никотиновой кислоты и инозитола.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Высвобождение никотиновой кислоты происходит постепенно, поэтому сосудистые реакции обычно выражены значительно слабее.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Но по своей сути это всё-таки ближе к никотиновой кислоте, чем к ниацинамиду.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инозитол гексаникотинат чаще используют, когда необходимо: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поддержать микроциркуляцию;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улучшить кровоснабжение тканей;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работать с сосудистой системой;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поддерживать липидный обмен;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получить эффекты никотиновой кислоты без выраженной сосудистой реакции.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Однако есть ещё один важный момент.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Ниацинамид практически не расходует метильные группы в той степени, как никотиновая кислота.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А инозитол гексаникотинат после высвобождения никотиновой кислоты уже включается в те же пути метаболизма, что и обычный ниацин. Поэтому при выраженных нарушениях метилирования этот момент тоже необходимо учитывать.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Никотинамид рибозид (NR) и никотинамид мононуклеотид (NMN)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Далее поговорим о формах, интерес к которым значительно вырос в последние годы.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никотинамид рибозид или NR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никотинамид мононуклеотид NMN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Причина их популярности связана с тем, что они являются предшественниками NAD.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С возрастом, на фоне хронического стресса, нарушений углеводного обмена, хронического воспалительного процесса и высокой метаболической нагрузки уровень NAD постепенно снижается.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Соответственно снижаются и адаптационные возможности организма.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поэтому появились стратегии, направленные на поддержку путей образования NAD.</w:t>
      </w:r>
    </w:p>
    <w:p>
      <w:pPr>
        <w:pBdr>
          <w:left w:val="single" w:color="C4A06E" w:sz="24" w:space="12"/>
        </w:pBdr>
        <w:shd w:fill="FAF6F0" w:val="clear"/>
        <w:spacing w:after="160" w:before="120" w:line="300"/>
        <w:ind w:left="360"/>
      </w:pPr>
      <w:r>
        <w:rPr>
          <w:rFonts w:ascii="Cormorant Garamond" w:cs="Cormorant Garamond" w:eastAsia="Cormorant Garamond" w:hAnsi="Cormorant Garamond"/>
          <w:i/>
          <w:iCs/>
          <w:color w:val="5C4035"/>
          <w:sz w:val="26"/>
          <w:szCs w:val="26"/>
        </w:rPr>
        <w:t xml:space="preserve">Однако необходимо понимать, что NR и NMN имеют смысл не тогда, когда есть дефицит витамина В3, а тогда, когда стоит задача поддержать снижающийся с возрастом или на фоне высокой нагрузки пул NAD.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Например: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возрастное снижение энергетического обмена, когда человек отмечает, что восстанавливаться после нагрузок стало значительно сложнее, чем раньше;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хроническая усталость при уже проведённой базовой коррекции, когда восстановлены сон, белковый обмен, железо, витамины группы В, работа пищеварительной системы, но ресурс организма остаётся сниженным;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высокая интеллектуальная нагрузка, требующая постоянной концентрации внимания и устойчивой работы нервной системы;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длительные периоды стресса и повышенной адаптационной нагрузки, когда организм постоянно расходует ресурсы на поддержание регуляторных механизмов;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восстановительные программы после длительных заболеваний, когда требуется поддержка клеточного метаболизма и митохондриального обмена;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возрастные стратегии сохранения когнитивных функций и поддержания адаптационных возможностей организма;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ситуации, сопровождающиеся высокой оксидативной нагрузкой и хроническим воспалительным процессом, поскольку в этих условиях расход NAD возрастает.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При этом важно понимать, что NR и NMN работают на достаточно глубоком уровне клеточного метаболизма.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NR и NMN целесообразно рассматривать тогда, когда уже созданы базовые условия для полноценной работы клеточного метаболизма: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достаточное поступление и усвоение белка;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устранены значимые дефициты железа, витаминов В12, В9 и В6;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восстановлен ЖКТ;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обеспечен полноценный желчеотток;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стабилизирован углеводный обмен;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нормализованы сон и циркадные ритмы;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снижена хроническая стрессовая нагрузка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поэтому в практике они чаще используются как инструмент оптимизации, а не как способ компенсировать выраженные функциональные нарушения.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Для большинства людей, находящихся на этапе восстановления пищеварения, коррекции дефицитов, работы с инсулинорезистентностью, нарушениями функции щитовидной железы или хроническим стрессом, гораздо большее значение имеют базовые формы витамина В3, белковый обмен, работа печени и состояние пищеварительной системы.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NR и NMN обычно появляются в стратегии значительно позже, когда фундамент уже выстроен и задача заключается в поддержке клеточного ресурса и адаптационных возможностей организма.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NADH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Отдельно стоит сказать про NADH.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Если NR и NMN являются предшественниками NAD и помогают организму поддерживать его уровень, то NADH представляет собой уже восстановленную форму NAD.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NADH участвует в переносе электронов внутри митохондрий и напрямую вовлечён в процессы образования АТФ.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Поэтому эта форма чаще рассматривается в ситуациях, когда необходимо поддержать энергетический обмен и общий ресурс организма.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Интерес к NADH обычно возникает при: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выраженном снижении энергии;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хронической усталости;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высокой умственной нагрузке;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снижении концентрации внимания;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ухудшении переносимости физических нагрузок;</w:t>
      </w:r>
    </w:p>
    <w:p>
      <w:pPr>
        <w:pStyle w:val="ListParagraph"/>
        <w:numPr>
          <w:ilvl w:val="0"/>
          <w:numId w:val="2"/>
        </w:numPr>
        <w:spacing w:after="80" w:line="290"/>
      </w:pPr>
      <w:r>
        <w:rPr>
          <w:rFonts w:ascii="Calibri" w:cs="Calibri" w:eastAsia="Calibri" w:hAnsi="Calibri"/>
          <w:color w:val="5C4035"/>
          <w:sz w:val="22"/>
          <w:szCs w:val="22"/>
        </w:rPr>
        <w:t xml:space="preserve">состояниях, сопровождающихся снижением адаптационных возможностей организма.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При этом важно понимать, что NADH не устраняет первопричины снижения энергетического обмена.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Он участвует в поддержке процессов образования энергии и может временно улучшать работу клеточного метаболизма на период применения.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На фоне приёма NADH некоторые люди отмечают улучшение концентрации внимания, повышение работоспособности и увеличение уровня энергии.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Учитывая его участие в процессах клеточного энергообразования, эту форму чаще используют в первой половине дня, чтобы поддержать дневную активность и не вмешиваться в естественные механизмы восстановления, которые преобладают в вечерние часы.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Если говорить о различиях, то NR и NMN помогают организму поддерживать образование NAD, а NADH уже непосредственно участвует в энергетических процессах внутри клетки.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Именно поэтому эти формы решают разные задачи и используются на разных этапах стратегии восстановления.</w:t>
      </w:r>
    </w:p>
    <w:p>
      <w:pPr>
        <w:spacing w:after="200" w:before="200"/>
        <w:jc w:val="center"/>
      </w:pPr>
      <w:r>
        <w:rPr>
          <w:rFonts w:ascii="Calibri" w:cs="Calibri" w:eastAsia="Calibri" w:hAnsi="Calibri"/>
          <w:color w:val="C4A06E"/>
          <w:sz w:val="18"/>
          <w:szCs w:val="18"/>
        </w:rPr>
        <w:t xml:space="preserve">✦ ✦ ✦</w:t>
      </w:r>
    </w:p>
    <w:p>
      <w:pPr>
        <w:pBdr>
          <w:bottom w:val="single" w:color="C4A06E" w:sz="6" w:space="6"/>
        </w:pBdr>
        <w:spacing w:after="140" w:before="320"/>
      </w:pPr>
      <w:r>
        <w:rPr>
          <w:rFonts w:ascii="Cormorant Garamond" w:cs="Cormorant Garamond" w:eastAsia="Cormorant Garamond" w:hAnsi="Cormorant Garamond"/>
          <w:b/>
          <w:bCs/>
          <w:color w:val="3F2A1E"/>
          <w:sz w:val="34"/>
          <w:szCs w:val="34"/>
        </w:rPr>
        <w:t xml:space="preserve">Итог</w:t>
      </w:r>
    </w:p>
    <w:p>
      <w:pPr>
        <w:pBdr>
          <w:left w:val="single" w:color="C4A06E" w:sz="24" w:space="12"/>
        </w:pBdr>
        <w:shd w:fill="FAF6F0" w:val="clear"/>
        <w:spacing w:after="160" w:before="120" w:line="300"/>
        <w:ind w:left="360"/>
      </w:pPr>
      <w:r>
        <w:rPr>
          <w:rFonts w:ascii="Cormorant Garamond" w:cs="Cormorant Garamond" w:eastAsia="Cormorant Garamond" w:hAnsi="Cormorant Garamond"/>
          <w:i/>
          <w:iCs/>
          <w:color w:val="5C4035"/>
          <w:sz w:val="26"/>
          <w:szCs w:val="26"/>
        </w:rPr>
        <w:t xml:space="preserve">Если подвести итог, то выбор формы витамина В3 всегда зависит от задач, которые стоят перед организмом в данный момент.</w:t>
      </w:r>
    </w:p>
    <w:p>
      <w:pPr>
        <w:spacing w:after="16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4035"/>
          <w:sz w:val="22"/>
          <w:szCs w:val="22"/>
        </w:rPr>
        <w:t xml:space="preserve">Каждая форма имеет свои особенности и точки приложения, но все они включены в общие метаболические процессы, связанные с энергетическим обменом, адаптацией к нагрузкам и восстановлением ресурсов организма.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DE4D6" w:sz="4" w:space="4"/>
      </w:pBdr>
      <w:jc w:val="center"/>
    </w:pPr>
    <w:hyperlink w:history="1" r:id="rId816z795wln8oz_icguqtv">
      <w:r>
        <w:rPr>
          <w:rFonts w:ascii="Calibri" w:cs="Calibri" w:eastAsia="Calibri" w:hAnsi="Calibri"/>
          <w:color w:val="9C7B4F"/>
          <w:sz w:val="16"/>
          <w:szCs w:val="16"/>
          <w:u w:val="single"/>
        </w:rPr>
        <w:t xml:space="preserve">Telegram: @lilia_koleva</w:t>
      </w:r>
    </w:hyperlink>
    <w:r>
      <w:rPr>
        <w:rFonts w:ascii="Calibri" w:cs="Calibri" w:eastAsia="Calibri" w:hAnsi="Calibri"/>
        <w:color w:val="A08878"/>
        <w:sz w:val="16"/>
        <w:szCs w:val="16"/>
      </w:rPr>
      <w:t xml:space="preserve">      ·      </w:t>
    </w:r>
    <w:hyperlink w:history="1" r:id="rIda1oa1n7ibu46ywhxlhvrr">
      <w:r>
        <w:rPr>
          <w:rFonts w:ascii="Calibri" w:cs="Calibri" w:eastAsia="Calibri" w:hAnsi="Calibri"/>
          <w:color w:val="9C7B4F"/>
          <w:sz w:val="16"/>
          <w:szCs w:val="16"/>
          <w:u w:val="single"/>
        </w:rPr>
        <w:t xml:space="preserve">Канал: @zdorovO_lilia_koleva</w:t>
      </w:r>
    </w:hyperlink>
    <w:r>
      <w:rPr>
        <w:rFonts w:ascii="Calibri" w:cs="Calibri" w:eastAsia="Calibri" w:hAnsi="Calibri"/>
        <w:color w:val="A08878"/>
        <w:sz w:val="16"/>
        <w:szCs w:val="16"/>
      </w:rPr>
      <w:t xml:space="preserve">      ·      </w:t>
    </w:r>
    <w:r>
      <w:rPr>
        <w:rFonts w:ascii="Calibri" w:cs="Calibri" w:eastAsia="Calibri" w:hAnsi="Calibri"/>
        <w:color w:val="A088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DE4D6" w:sz="4" w:space="4"/>
      </w:pBdr>
      <w:jc w:val="right"/>
    </w:pPr>
    <w:r>
      <w:rPr>
        <w:rFonts w:ascii="Calibri" w:cs="Calibri" w:eastAsia="Calibri" w:hAnsi="Calibri"/>
        <w:color w:val="A08878"/>
        <w:sz w:val="16"/>
        <w:szCs w:val="16"/>
      </w:rPr>
      <w:t xml:space="preserve">Витамин В3 · Лилия Колева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  <w:rPr>
        <w:color w:val="9C7B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C403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p5fkqh3ptik4crztxctkz" Type="http://schemas.openxmlformats.org/officeDocument/2006/relationships/hyperlink" Target="https://bg.iherb.com/pr/swanson-vitamins-niacin-100-mg-250-tablets/117548?rcode=MJN634" TargetMode="External"/><Relationship Id="rId416i21bjm06wiwcq-z_-i" Type="http://schemas.openxmlformats.org/officeDocument/2006/relationships/hyperlink" Target="https://bg.iherb.com/pr/nutricost-niacinamide-500-mg-240-capsules/144631?rcode=MJN634" TargetMode="External"/><Relationship Id="rIdypd3bng9xkhkgmd1ugfq6" Type="http://schemas.openxmlformats.org/officeDocument/2006/relationships/hyperlink" Target="https://bg.iherb.com/pr/swanson-vitamins-flush-free-niacin-500-mg-120-capsules/118067?rcode=MJN634" TargetMode="External"/><Relationship Id="rIdpfholjmjsiowqxdhnk221" Type="http://schemas.openxmlformats.org/officeDocument/2006/relationships/hyperlink" Target="https://bg.iherb.com/pr/thorne-niacel-400-nicotinamide-riboside-60-capsules/105245?rcode=MJN634" TargetMode="External"/><Relationship Id="rId9av_0ewugb7yqaafmaglv" Type="http://schemas.openxmlformats.org/officeDocument/2006/relationships/hyperlink" Target="https://www.iherb.com/pr/california-gold-nutrition-nmn-175-mg-180-veggie-capsules/126768?rcode=MJN634" TargetMode="External"/><Relationship Id="rIdr-w9ywesncotvccdrfdny" Type="http://schemas.openxmlformats.org/officeDocument/2006/relationships/hyperlink" Target="https://www.iherb.com/pr/codeage-liposomal-nmn-30-vegetable-capsules/115318?rcode=MJN634" TargetMode="External"/><Relationship Id="rId4nmdtdyjznm0j3hkzbehj" Type="http://schemas.openxmlformats.org/officeDocument/2006/relationships/hyperlink" Target="https://www.iherb.com/pr/enada-20x-20-mg-30-lozenges/9292?rcode=MJN634" TargetMode="External"/><Relationship Id="rIddapc5oqzfl2s4odi6lpmw" Type="http://schemas.openxmlformats.org/officeDocument/2006/relationships/hyperlink" Target="https://www.iherb.com/pr/swanson-vitamins-nadh-peppermint-20-mg-30-lozenges/118138?rcode=MJN634" TargetMode="External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816z795wln8oz_icguqtv" Type="http://schemas.openxmlformats.org/officeDocument/2006/relationships/hyperlink" Target="https://t.me/lilia_koleva" TargetMode="External"/><Relationship Id="rIda1oa1n7ibu46ywhxlhvrr" Type="http://schemas.openxmlformats.org/officeDocument/2006/relationships/hyperlink" Target="https://t.me/zdorovO_lilia_koleva" TargetMode="External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Витамин В3. Формы, функции и практическое применение</dc:title>
  <dc:creator>Лилия Колева</dc:creator>
  <cp:lastModifiedBy>Un-named</cp:lastModifiedBy>
  <cp:revision>1</cp:revision>
  <dcterms:created xsi:type="dcterms:W3CDTF">2026-06-29T22:06:13.645Z</dcterms:created>
  <dcterms:modified xsi:type="dcterms:W3CDTF">2026-06-29T22:06:13.645Z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